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22" w:rsidRDefault="001B4717" w:rsidP="0012172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22">
        <w:rPr>
          <w:rFonts w:ascii="Times New Roman" w:hAnsi="Times New Roman" w:cs="Times New Roman"/>
          <w:b/>
          <w:sz w:val="28"/>
          <w:szCs w:val="28"/>
        </w:rPr>
        <w:t xml:space="preserve">Инструкция по использованию функционала </w:t>
      </w:r>
    </w:p>
    <w:p w:rsidR="001B4717" w:rsidRPr="00121722" w:rsidRDefault="001B4717" w:rsidP="0012172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22">
        <w:rPr>
          <w:rFonts w:ascii="Times New Roman" w:hAnsi="Times New Roman" w:cs="Times New Roman"/>
          <w:b/>
          <w:sz w:val="28"/>
          <w:szCs w:val="28"/>
        </w:rPr>
        <w:t>обмена бухгалтерскими документами</w:t>
      </w:r>
    </w:p>
    <w:p w:rsidR="00C61551" w:rsidRPr="007C6AA9" w:rsidRDefault="00A12232" w:rsidP="007C6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AA9">
        <w:rPr>
          <w:rFonts w:ascii="Times New Roman" w:hAnsi="Times New Roman" w:cs="Times New Roman"/>
          <w:sz w:val="24"/>
          <w:szCs w:val="24"/>
        </w:rPr>
        <w:t xml:space="preserve">Настоящая инструкция предназначена для пользователей Личного кабинета </w:t>
      </w:r>
      <w:r w:rsidRPr="007C6A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etpzakaz.ru</w:t>
      </w:r>
      <w:r w:rsidRPr="007C6AA9">
        <w:rPr>
          <w:rFonts w:ascii="Times New Roman" w:hAnsi="Times New Roman" w:cs="Times New Roman"/>
          <w:sz w:val="24"/>
          <w:szCs w:val="24"/>
        </w:rPr>
        <w:t xml:space="preserve">. В </w:t>
      </w:r>
      <w:r w:rsidR="001B4717" w:rsidRPr="007C6AA9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7C6AA9">
        <w:rPr>
          <w:rFonts w:ascii="Times New Roman" w:hAnsi="Times New Roman" w:cs="Times New Roman"/>
          <w:sz w:val="24"/>
          <w:szCs w:val="24"/>
        </w:rPr>
        <w:t>документе поясняются основные возможности и порядок действий для получения бухгалтерских документов (</w:t>
      </w:r>
      <w:r w:rsidRPr="007C6AA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выполненных работ и счет-фактура</w:t>
      </w:r>
      <w:r w:rsidRPr="007C6AA9">
        <w:rPr>
          <w:rFonts w:ascii="Times New Roman" w:hAnsi="Times New Roman" w:cs="Times New Roman"/>
          <w:sz w:val="24"/>
          <w:szCs w:val="24"/>
        </w:rPr>
        <w:t>) Участника закупок</w:t>
      </w:r>
      <w:r w:rsidR="001A5AD6" w:rsidRPr="001A5A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5AD6">
        <w:rPr>
          <w:rFonts w:ascii="Times New Roman" w:hAnsi="Times New Roman" w:cs="Times New Roman"/>
          <w:color w:val="000000"/>
          <w:sz w:val="24"/>
          <w:szCs w:val="24"/>
        </w:rPr>
        <w:t>(далее по тексту Участник).</w:t>
      </w:r>
    </w:p>
    <w:p w:rsidR="00727D57" w:rsidRDefault="00727D57" w:rsidP="007C6AA9">
      <w:pPr>
        <w:shd w:val="clear" w:color="auto" w:fill="FFFFFF"/>
        <w:spacing w:before="100" w:beforeAutospacing="1" w:after="2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6AA9">
        <w:rPr>
          <w:rFonts w:ascii="Times New Roman" w:hAnsi="Times New Roman" w:cs="Times New Roman"/>
          <w:color w:val="000000"/>
          <w:sz w:val="24"/>
          <w:szCs w:val="24"/>
        </w:rPr>
        <w:t xml:space="preserve">Копии актов и счетов-фактур по оказанным услугам доступны в личном кабинете Участника на </w:t>
      </w:r>
      <w:r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 xml:space="preserve">сайте </w:t>
      </w:r>
      <w:hyperlink r:id="rId5" w:history="1">
        <w:r w:rsidR="007C6AA9" w:rsidRPr="00184698">
          <w:rPr>
            <w:rStyle w:val="a3"/>
            <w:rFonts w:ascii="Times New Roman" w:hAnsi="Times New Roman" w:cs="Times New Roman"/>
            <w:sz w:val="24"/>
            <w:szCs w:val="24"/>
            <w:shd w:val="clear" w:color="auto" w:fill="FEFCFD"/>
          </w:rPr>
          <w:t>https://etpzakaz.ru</w:t>
        </w:r>
      </w:hyperlink>
      <w:r w:rsidRPr="007C6A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12232" w:rsidRDefault="00A12232" w:rsidP="007C6AA9">
      <w:pPr>
        <w:jc w:val="both"/>
        <w:rPr>
          <w:rFonts w:ascii="Times New Roman" w:hAnsi="Times New Roman" w:cs="Times New Roman"/>
          <w:sz w:val="24"/>
          <w:szCs w:val="24"/>
        </w:rPr>
      </w:pPr>
      <w:r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 xml:space="preserve">Для получения </w:t>
      </w:r>
      <w:r w:rsidR="00727D57" w:rsidRPr="0072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</w:t>
      </w:r>
      <w:r w:rsidR="00727D57" w:rsidRPr="007C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727D57" w:rsidRPr="0072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D57"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>вышеуказанных</w:t>
      </w:r>
      <w:r w:rsidR="00727D57" w:rsidRPr="007C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7D57" w:rsidRPr="0072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в электронном виде </w:t>
      </w:r>
      <w:r w:rsidR="00727D57"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 xml:space="preserve">Участнику необходимо авторизоваться в Личном кабинете на сайте </w:t>
      </w:r>
      <w:hyperlink r:id="rId6" w:history="1">
        <w:r w:rsidR="00727D57" w:rsidRPr="007C6AA9">
          <w:rPr>
            <w:rStyle w:val="a3"/>
            <w:rFonts w:ascii="Times New Roman" w:hAnsi="Times New Roman" w:cs="Times New Roman"/>
            <w:sz w:val="24"/>
            <w:szCs w:val="24"/>
            <w:shd w:val="clear" w:color="auto" w:fill="FEFCFD"/>
          </w:rPr>
          <w:t>https://etpzakaz.ru</w:t>
        </w:r>
      </w:hyperlink>
      <w:r w:rsidR="00727D57"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 xml:space="preserve">. </w:t>
      </w:r>
      <w:r w:rsidR="00727D57" w:rsidRPr="007C6AA9">
        <w:rPr>
          <w:rFonts w:ascii="Times New Roman" w:hAnsi="Times New Roman" w:cs="Times New Roman"/>
          <w:sz w:val="24"/>
          <w:szCs w:val="24"/>
        </w:rPr>
        <w:t>Для входа в личный кабинет воспользуйтесь присвоенными Вам логином и паролем.</w:t>
      </w:r>
    </w:p>
    <w:p w:rsidR="009B1788" w:rsidRDefault="009B1788" w:rsidP="007C6AA9">
      <w:pPr>
        <w:jc w:val="both"/>
        <w:rPr>
          <w:rFonts w:ascii="Times New Roman" w:hAnsi="Times New Roman" w:cs="Times New Roman"/>
          <w:sz w:val="24"/>
          <w:szCs w:val="24"/>
        </w:rPr>
      </w:pPr>
      <w:r w:rsidRPr="009B17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0875" cy="2396867"/>
            <wp:effectExtent l="0" t="0" r="0" b="3810"/>
            <wp:docPr id="2" name="Рисунок 2" descr="C:\Users\Администратор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44" cy="241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88" w:rsidRPr="007E7D62" w:rsidRDefault="00727D57" w:rsidP="007C6AA9">
      <w:pPr>
        <w:jc w:val="both"/>
        <w:rPr>
          <w:rFonts w:ascii="Times New Roman" w:hAnsi="Times New Roman" w:cs="Times New Roman"/>
          <w:b/>
          <w:color w:val="363635"/>
          <w:sz w:val="24"/>
          <w:szCs w:val="24"/>
          <w:shd w:val="clear" w:color="auto" w:fill="FEFCFD"/>
        </w:rPr>
      </w:pPr>
      <w:r w:rsidRPr="007C6AA9">
        <w:rPr>
          <w:rFonts w:ascii="Times New Roman" w:hAnsi="Times New Roman" w:cs="Times New Roman"/>
          <w:sz w:val="24"/>
          <w:szCs w:val="24"/>
        </w:rPr>
        <w:t xml:space="preserve">После авторизации откроется </w:t>
      </w:r>
      <w:r w:rsidR="003571DE">
        <w:rPr>
          <w:rFonts w:ascii="Times New Roman" w:hAnsi="Times New Roman" w:cs="Times New Roman"/>
          <w:sz w:val="24"/>
          <w:szCs w:val="24"/>
        </w:rPr>
        <w:t>Г</w:t>
      </w:r>
      <w:r w:rsidRPr="007C6AA9">
        <w:rPr>
          <w:rFonts w:ascii="Times New Roman" w:hAnsi="Times New Roman" w:cs="Times New Roman"/>
          <w:sz w:val="24"/>
          <w:szCs w:val="24"/>
        </w:rPr>
        <w:t xml:space="preserve">лавная страница </w:t>
      </w:r>
      <w:r w:rsidR="007E7D62">
        <w:rPr>
          <w:rFonts w:ascii="Times New Roman" w:hAnsi="Times New Roman" w:cs="Times New Roman"/>
          <w:sz w:val="24"/>
          <w:szCs w:val="24"/>
        </w:rPr>
        <w:t>Л</w:t>
      </w:r>
      <w:r w:rsidRPr="007C6AA9">
        <w:rPr>
          <w:rFonts w:ascii="Times New Roman" w:hAnsi="Times New Roman" w:cs="Times New Roman"/>
          <w:sz w:val="24"/>
          <w:szCs w:val="24"/>
        </w:rPr>
        <w:t xml:space="preserve">ичного кабинета. </w:t>
      </w:r>
      <w:r w:rsidR="001B4717"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>На Главной странице </w:t>
      </w:r>
      <w:hyperlink r:id="rId8" w:history="1">
        <w:r w:rsidR="001B4717" w:rsidRPr="007C6AA9">
          <w:rPr>
            <w:rStyle w:val="a3"/>
            <w:rFonts w:ascii="Times New Roman" w:hAnsi="Times New Roman" w:cs="Times New Roman"/>
            <w:color w:val="2D2A2A"/>
            <w:sz w:val="24"/>
            <w:szCs w:val="24"/>
            <w:u w:val="none"/>
            <w:shd w:val="clear" w:color="auto" w:fill="FEFCFD"/>
          </w:rPr>
          <w:t>Личного</w:t>
        </w:r>
      </w:hyperlink>
      <w:r w:rsidR="001B4717" w:rsidRPr="007C6AA9">
        <w:rPr>
          <w:rFonts w:ascii="Times New Roman" w:hAnsi="Times New Roman" w:cs="Times New Roman"/>
          <w:sz w:val="24"/>
          <w:szCs w:val="24"/>
        </w:rPr>
        <w:t xml:space="preserve"> кабинета</w:t>
      </w:r>
      <w:r w:rsidR="001B4717"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 xml:space="preserve"> в </w:t>
      </w:r>
      <w:r w:rsidR="001B4717" w:rsidRPr="007C6AA9">
        <w:rPr>
          <w:rStyle w:val="a4"/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>«Навигации»</w:t>
      </w:r>
      <w:r w:rsidR="001B4717"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 xml:space="preserve"> пройдите в раздел </w:t>
      </w:r>
      <w:r w:rsidR="001B4717" w:rsidRPr="007E7D62">
        <w:rPr>
          <w:rFonts w:ascii="Times New Roman" w:hAnsi="Times New Roman" w:cs="Times New Roman"/>
          <w:b/>
          <w:color w:val="363635"/>
          <w:sz w:val="24"/>
          <w:szCs w:val="24"/>
          <w:shd w:val="clear" w:color="auto" w:fill="FEFCFD"/>
        </w:rPr>
        <w:t xml:space="preserve">«Отчетность». </w:t>
      </w:r>
    </w:p>
    <w:p w:rsidR="009B1788" w:rsidRDefault="009B1788" w:rsidP="007C6AA9">
      <w:pPr>
        <w:jc w:val="both"/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</w:pPr>
      <w:r w:rsidRPr="009B1788">
        <w:rPr>
          <w:rFonts w:ascii="Times New Roman" w:hAnsi="Times New Roman" w:cs="Times New Roman"/>
          <w:noProof/>
          <w:color w:val="363635"/>
          <w:sz w:val="24"/>
          <w:szCs w:val="24"/>
          <w:shd w:val="clear" w:color="auto" w:fill="FEFCFD"/>
          <w:lang w:eastAsia="ru-RU"/>
        </w:rPr>
        <w:drawing>
          <wp:inline distT="0" distB="0" distL="0" distR="0">
            <wp:extent cx="1352550" cy="3652481"/>
            <wp:effectExtent l="0" t="0" r="0" b="5715"/>
            <wp:docPr id="3" name="Рисунок 3" descr="C:\Users\Администратор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127" cy="366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88" w:rsidRDefault="001B4717" w:rsidP="007C6AA9">
      <w:pPr>
        <w:jc w:val="both"/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</w:pPr>
      <w:r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lastRenderedPageBreak/>
        <w:t xml:space="preserve">При нажатии на данный раздел </w:t>
      </w:r>
      <w:r w:rsidRPr="007C6AA9">
        <w:rPr>
          <w:rFonts w:ascii="Times New Roman" w:hAnsi="Times New Roman" w:cs="Times New Roman"/>
          <w:sz w:val="24"/>
          <w:szCs w:val="24"/>
        </w:rPr>
        <w:t xml:space="preserve">осуществляется переход в </w:t>
      </w:r>
      <w:r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 xml:space="preserve">подраздел </w:t>
      </w:r>
      <w:r w:rsidRPr="007E7D62">
        <w:rPr>
          <w:rFonts w:ascii="Times New Roman" w:hAnsi="Times New Roman" w:cs="Times New Roman"/>
          <w:b/>
          <w:color w:val="363635"/>
          <w:sz w:val="24"/>
          <w:szCs w:val="24"/>
          <w:shd w:val="clear" w:color="auto" w:fill="FEFCFD"/>
        </w:rPr>
        <w:t>«Акты»,</w:t>
      </w:r>
      <w:r w:rsidR="009B1788" w:rsidRPr="009B178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1788" w:rsidRPr="009B1788">
        <w:rPr>
          <w:rFonts w:ascii="Times New Roman" w:hAnsi="Times New Roman" w:cs="Times New Roman"/>
          <w:noProof/>
          <w:color w:val="363635"/>
          <w:sz w:val="24"/>
          <w:szCs w:val="24"/>
          <w:shd w:val="clear" w:color="auto" w:fill="FEFCFD"/>
          <w:lang w:eastAsia="ru-RU"/>
        </w:rPr>
        <w:drawing>
          <wp:inline distT="0" distB="0" distL="0" distR="0">
            <wp:extent cx="2162175" cy="828675"/>
            <wp:effectExtent l="0" t="0" r="9525" b="9525"/>
            <wp:docPr id="4" name="Рисунок 4" descr="C:\Users\Администратор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 xml:space="preserve"> </w:t>
      </w:r>
    </w:p>
    <w:p w:rsidR="00727D57" w:rsidRDefault="009B1788" w:rsidP="007C6AA9">
      <w:pPr>
        <w:jc w:val="both"/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</w:pPr>
      <w:r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 xml:space="preserve">В подразделе </w:t>
      </w:r>
      <w:r w:rsidRPr="007E7D62">
        <w:rPr>
          <w:rFonts w:ascii="Times New Roman" w:hAnsi="Times New Roman" w:cs="Times New Roman"/>
          <w:b/>
          <w:color w:val="363635"/>
          <w:sz w:val="24"/>
          <w:szCs w:val="24"/>
          <w:shd w:val="clear" w:color="auto" w:fill="FEFCFD"/>
        </w:rPr>
        <w:t>«Акты»</w:t>
      </w:r>
      <w:r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 xml:space="preserve"> </w:t>
      </w:r>
      <w:r w:rsidR="003571DE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>Участнику (</w:t>
      </w:r>
      <w:r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>пользователю</w:t>
      </w:r>
      <w:r w:rsidR="001B4717" w:rsidRPr="007C6AA9">
        <w:rPr>
          <w:rFonts w:ascii="Times New Roman" w:hAnsi="Times New Roman" w:cs="Times New Roman"/>
          <w:sz w:val="24"/>
          <w:szCs w:val="24"/>
        </w:rPr>
        <w:t xml:space="preserve"> личного кабинета</w:t>
      </w:r>
      <w:r w:rsidR="003571DE">
        <w:rPr>
          <w:rFonts w:ascii="Times New Roman" w:hAnsi="Times New Roman" w:cs="Times New Roman"/>
          <w:sz w:val="24"/>
          <w:szCs w:val="24"/>
        </w:rPr>
        <w:t>)</w:t>
      </w:r>
      <w:r w:rsidR="001B4717"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 xml:space="preserve"> предоставляется возможность скачивани</w:t>
      </w:r>
      <w:r w:rsidR="007C6AA9"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>я вышеуказанных бухгалтерских документов</w:t>
      </w:r>
      <w:r w:rsidR="00121722" w:rsidRPr="00121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1722" w:rsidRPr="002C0C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формате PDF</w:t>
      </w:r>
      <w:r w:rsidR="007C6AA9" w:rsidRPr="007C6AA9"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  <w:t xml:space="preserve">. </w:t>
      </w:r>
    </w:p>
    <w:p w:rsidR="009B1788" w:rsidRDefault="00A83431" w:rsidP="007C6AA9">
      <w:pPr>
        <w:jc w:val="both"/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</w:pPr>
      <w:r w:rsidRPr="00A83431">
        <w:rPr>
          <w:rFonts w:ascii="Times New Roman" w:hAnsi="Times New Roman" w:cs="Times New Roman"/>
          <w:noProof/>
          <w:color w:val="363635"/>
          <w:sz w:val="24"/>
          <w:szCs w:val="24"/>
          <w:shd w:val="clear" w:color="auto" w:fill="FEFCFD"/>
          <w:lang w:eastAsia="ru-RU"/>
        </w:rPr>
        <w:drawing>
          <wp:inline distT="0" distB="0" distL="0" distR="0">
            <wp:extent cx="5940425" cy="1542463"/>
            <wp:effectExtent l="0" t="0" r="3175" b="63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88" w:rsidRDefault="009B1788" w:rsidP="007C6AA9">
      <w:pPr>
        <w:jc w:val="both"/>
        <w:rPr>
          <w:rFonts w:ascii="Times New Roman" w:hAnsi="Times New Roman" w:cs="Times New Roman"/>
          <w:color w:val="363635"/>
          <w:sz w:val="24"/>
          <w:szCs w:val="24"/>
          <w:shd w:val="clear" w:color="auto" w:fill="FEFCFD"/>
        </w:rPr>
      </w:pPr>
    </w:p>
    <w:p w:rsidR="00121722" w:rsidRDefault="00121722" w:rsidP="00121722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722" w:rsidRPr="002C0C56" w:rsidRDefault="00121722" w:rsidP="00121722">
      <w:pPr>
        <w:spacing w:after="0" w:line="240" w:lineRule="auto"/>
        <w:ind w:left="-567" w:firstLine="851"/>
        <w:jc w:val="both"/>
      </w:pPr>
      <w:r w:rsidRPr="002C0C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дополнительной консультации Вы можете обратиться к специалистам etpzakaz.ru по электронной почте ooo.bo@mail.ru или по телефонам, указанным на сайте.</w:t>
      </w:r>
    </w:p>
    <w:p w:rsidR="009B1788" w:rsidRPr="007C6AA9" w:rsidRDefault="009B1788" w:rsidP="007C6A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1788" w:rsidRPr="007C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8791E"/>
    <w:multiLevelType w:val="multilevel"/>
    <w:tmpl w:val="73B8E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774948"/>
    <w:multiLevelType w:val="multilevel"/>
    <w:tmpl w:val="13E24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2"/>
    <w:rsid w:val="00121722"/>
    <w:rsid w:val="001A5AD6"/>
    <w:rsid w:val="001B4717"/>
    <w:rsid w:val="003571DE"/>
    <w:rsid w:val="00502F83"/>
    <w:rsid w:val="00727D57"/>
    <w:rsid w:val="007C6AA9"/>
    <w:rsid w:val="007E7D62"/>
    <w:rsid w:val="009B1788"/>
    <w:rsid w:val="00A00114"/>
    <w:rsid w:val="00A12232"/>
    <w:rsid w:val="00A83431"/>
    <w:rsid w:val="00E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6E556-67A5-422F-9597-9FC09CAB9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D57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1B4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mcn.ru/dashboard/ap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pzakaz.ru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etpzakaz.ru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2019-02-01T08:29:00Z</dcterms:created>
  <dcterms:modified xsi:type="dcterms:W3CDTF">2019-02-01T08:40:00Z</dcterms:modified>
</cp:coreProperties>
</file>